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894" w:rsidRPr="0044125B" w:rsidRDefault="00972807" w:rsidP="00BF6894">
      <w:pPr>
        <w:pBdr>
          <w:bottom w:val="single" w:sz="4" w:space="1" w:color="auto"/>
        </w:pBd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Fiche c</w:t>
      </w:r>
      <w:r w:rsidR="0044125B" w:rsidRPr="0044125B">
        <w:rPr>
          <w:b/>
          <w:color w:val="002060"/>
          <w:sz w:val="36"/>
          <w:szCs w:val="36"/>
        </w:rPr>
        <w:t xml:space="preserve">oopération </w:t>
      </w:r>
      <w:r>
        <w:rPr>
          <w:b/>
          <w:color w:val="002060"/>
          <w:sz w:val="36"/>
          <w:szCs w:val="36"/>
        </w:rPr>
        <w:t>médico-sociale</w:t>
      </w:r>
    </w:p>
    <w:p w:rsidR="00B44DC9" w:rsidRPr="008F45CD" w:rsidRDefault="0092084C" w:rsidP="00183723">
      <w:pPr>
        <w:jc w:val="both"/>
        <w:rPr>
          <w:rFonts w:cstheme="minorHAnsi"/>
        </w:rPr>
      </w:pPr>
      <w:r>
        <w:rPr>
          <w:rFonts w:cstheme="minorHAnsi"/>
        </w:rPr>
        <w:t>L</w:t>
      </w:r>
      <w:r w:rsidR="00E63407" w:rsidRPr="008F45CD">
        <w:rPr>
          <w:rFonts w:cstheme="minorHAnsi"/>
        </w:rPr>
        <w:t>a l</w:t>
      </w:r>
      <w:r w:rsidR="00E63407" w:rsidRPr="008F45CD">
        <w:rPr>
          <w:rStyle w:val="lev"/>
          <w:rFonts w:cstheme="minorHAnsi"/>
        </w:rPr>
        <w:t>oi du 26 juillet 2019 pour une école de la confiance</w:t>
      </w:r>
      <w:r w:rsidR="00E63407" w:rsidRPr="009E4EF9">
        <w:rPr>
          <w:rStyle w:val="lev"/>
          <w:rFonts w:cstheme="minorHAnsi"/>
          <w:b w:val="0"/>
        </w:rPr>
        <w:t xml:space="preserve"> </w:t>
      </w:r>
      <w:r w:rsidRPr="009E4EF9">
        <w:rPr>
          <w:rStyle w:val="lev"/>
          <w:rFonts w:cstheme="minorHAnsi"/>
          <w:b w:val="0"/>
        </w:rPr>
        <w:t>a</w:t>
      </w:r>
      <w:r>
        <w:rPr>
          <w:rStyle w:val="lev"/>
          <w:rFonts w:cstheme="minorHAnsi"/>
        </w:rPr>
        <w:t xml:space="preserve"> </w:t>
      </w:r>
      <w:r w:rsidR="00E63407" w:rsidRPr="008F45CD">
        <w:rPr>
          <w:rFonts w:cstheme="minorHAnsi"/>
        </w:rPr>
        <w:t>marqu</w:t>
      </w:r>
      <w:r>
        <w:rPr>
          <w:rFonts w:cstheme="minorHAnsi"/>
        </w:rPr>
        <w:t>é</w:t>
      </w:r>
      <w:r w:rsidR="00E63407" w:rsidRPr="008F45CD">
        <w:rPr>
          <w:rFonts w:cstheme="minorHAnsi"/>
        </w:rPr>
        <w:t xml:space="preserve"> un changement d’</w:t>
      </w:r>
      <w:r w:rsidR="00B44DC9" w:rsidRPr="008F45CD">
        <w:rPr>
          <w:rFonts w:cstheme="minorHAnsi"/>
        </w:rPr>
        <w:t>approche</w:t>
      </w:r>
      <w:r>
        <w:rPr>
          <w:rFonts w:cstheme="minorHAnsi"/>
        </w:rPr>
        <w:t xml:space="preserve"> dans la coopération entre les établissements et services médico-sociaux. </w:t>
      </w:r>
      <w:r w:rsidR="00CF03BD">
        <w:rPr>
          <w:rFonts w:cstheme="minorHAnsi"/>
        </w:rPr>
        <w:t xml:space="preserve">La rentrée 2020 </w:t>
      </w:r>
      <w:r>
        <w:rPr>
          <w:rFonts w:cstheme="minorHAnsi"/>
        </w:rPr>
        <w:t xml:space="preserve">doit être </w:t>
      </w:r>
      <w:r w:rsidR="00CF03BD">
        <w:rPr>
          <w:rFonts w:cstheme="minorHAnsi"/>
        </w:rPr>
        <w:t>celle de l’approfondissement de cette coopération et du renforcement de son maillage sur le territoire. La</w:t>
      </w:r>
      <w:r w:rsidR="00E63407" w:rsidRPr="008F45CD">
        <w:rPr>
          <w:rFonts w:cstheme="minorHAnsi"/>
        </w:rPr>
        <w:t xml:space="preserve"> crise sanitaire a</w:t>
      </w:r>
      <w:r w:rsidR="00CF03BD">
        <w:rPr>
          <w:rFonts w:cstheme="minorHAnsi"/>
        </w:rPr>
        <w:t xml:space="preserve">yant interrompu </w:t>
      </w:r>
      <w:r w:rsidR="00E63407" w:rsidRPr="008F45CD">
        <w:rPr>
          <w:rFonts w:cstheme="minorHAnsi"/>
        </w:rPr>
        <w:t xml:space="preserve">les échanges </w:t>
      </w:r>
      <w:r w:rsidR="00CF03BD">
        <w:rPr>
          <w:rFonts w:cstheme="minorHAnsi"/>
        </w:rPr>
        <w:t>relatifs à une plus grande</w:t>
      </w:r>
      <w:r w:rsidR="00E63407" w:rsidRPr="008F45CD">
        <w:rPr>
          <w:rFonts w:cstheme="minorHAnsi"/>
        </w:rPr>
        <w:t xml:space="preserve"> formalisation </w:t>
      </w:r>
      <w:r w:rsidR="00CF03BD">
        <w:rPr>
          <w:rFonts w:cstheme="minorHAnsi"/>
        </w:rPr>
        <w:t>des modalités préférentielles de coopération,</w:t>
      </w:r>
      <w:r w:rsidR="00E63407" w:rsidRPr="008F45CD">
        <w:rPr>
          <w:rFonts w:cstheme="minorHAnsi"/>
        </w:rPr>
        <w:t xml:space="preserve"> </w:t>
      </w:r>
      <w:r w:rsidR="00B44DC9" w:rsidRPr="008F45CD">
        <w:rPr>
          <w:rFonts w:cstheme="minorHAnsi"/>
        </w:rPr>
        <w:t xml:space="preserve">la plus grande souplesse est laissée aux Agences Régionales de Santé et aux Rectorats pour </w:t>
      </w:r>
      <w:r w:rsidR="00CF03BD">
        <w:rPr>
          <w:rFonts w:cstheme="minorHAnsi"/>
        </w:rPr>
        <w:t>amplifier la</w:t>
      </w:r>
      <w:r w:rsidR="00B44DC9" w:rsidRPr="008F45CD">
        <w:rPr>
          <w:rFonts w:cstheme="minorHAnsi"/>
        </w:rPr>
        <w:t xml:space="preserve"> coopération depuis les territoires</w:t>
      </w:r>
      <w:r w:rsidR="00CF03BD">
        <w:rPr>
          <w:rFonts w:cstheme="minorHAnsi"/>
        </w:rPr>
        <w:t xml:space="preserve"> dans la perspective de cette rentrée, en capitalisant sur les meilleures pratiques</w:t>
      </w:r>
      <w:r w:rsidR="00B44DC9" w:rsidRPr="008F45CD">
        <w:rPr>
          <w:rFonts w:cstheme="minorHAnsi"/>
        </w:rPr>
        <w:t>.</w:t>
      </w:r>
    </w:p>
    <w:p w:rsidR="00E63407" w:rsidRPr="008F45CD" w:rsidRDefault="00CF03BD" w:rsidP="00183723">
      <w:pPr>
        <w:jc w:val="both"/>
        <w:rPr>
          <w:rFonts w:cstheme="minorHAnsi"/>
        </w:rPr>
      </w:pPr>
      <w:r>
        <w:rPr>
          <w:rFonts w:cstheme="minorHAnsi"/>
        </w:rPr>
        <w:t>La</w:t>
      </w:r>
      <w:r w:rsidR="00B44DC9" w:rsidRPr="008F45CD">
        <w:rPr>
          <w:rFonts w:cstheme="minorHAnsi"/>
        </w:rPr>
        <w:t xml:space="preserve"> rentrée 2</w:t>
      </w:r>
      <w:r w:rsidR="00305CA7" w:rsidRPr="008F45CD">
        <w:rPr>
          <w:rFonts w:cstheme="minorHAnsi"/>
        </w:rPr>
        <w:t xml:space="preserve">020 </w:t>
      </w:r>
      <w:r w:rsidR="00E63407" w:rsidRPr="008F45CD">
        <w:rPr>
          <w:rFonts w:cstheme="minorHAnsi"/>
        </w:rPr>
        <w:t xml:space="preserve">doit </w:t>
      </w:r>
      <w:r>
        <w:rPr>
          <w:rFonts w:cstheme="minorHAnsi"/>
        </w:rPr>
        <w:t xml:space="preserve">ainsi </w:t>
      </w:r>
      <w:r w:rsidR="00E63407" w:rsidRPr="008F45CD">
        <w:rPr>
          <w:rFonts w:cstheme="minorHAnsi"/>
        </w:rPr>
        <w:t>permettre</w:t>
      </w:r>
      <w:r w:rsidR="00305CA7" w:rsidRPr="008F45CD">
        <w:rPr>
          <w:rFonts w:cstheme="minorHAnsi"/>
        </w:rPr>
        <w:t xml:space="preserve"> d’amplifier les premiers acquis, </w:t>
      </w:r>
      <w:r w:rsidR="00B90BCC" w:rsidRPr="008F45CD">
        <w:rPr>
          <w:rFonts w:cstheme="minorHAnsi"/>
        </w:rPr>
        <w:t>en poursuivant</w:t>
      </w:r>
      <w:r w:rsidR="0026708C" w:rsidRPr="008F45CD">
        <w:rPr>
          <w:rFonts w:cstheme="minorHAnsi"/>
        </w:rPr>
        <w:t xml:space="preserve"> notamment</w:t>
      </w:r>
      <w:r w:rsidR="00B90BCC" w:rsidRPr="008F45CD">
        <w:rPr>
          <w:rFonts w:cstheme="minorHAnsi"/>
        </w:rPr>
        <w:t xml:space="preserve"> le déploiement </w:t>
      </w:r>
      <w:r w:rsidR="00305CA7" w:rsidRPr="008F45CD">
        <w:rPr>
          <w:rFonts w:cstheme="minorHAnsi"/>
        </w:rPr>
        <w:t>des équipe</w:t>
      </w:r>
      <w:r w:rsidR="00E63407" w:rsidRPr="008F45CD">
        <w:rPr>
          <w:rFonts w:cstheme="minorHAnsi"/>
        </w:rPr>
        <w:t xml:space="preserve">s </w:t>
      </w:r>
      <w:r w:rsidR="00B44DC9" w:rsidRPr="008F45CD">
        <w:rPr>
          <w:rFonts w:cstheme="minorHAnsi"/>
        </w:rPr>
        <w:t>mobiles d’appui médico-social, de faire appel à la palette de solution</w:t>
      </w:r>
      <w:r>
        <w:rPr>
          <w:rFonts w:cstheme="minorHAnsi"/>
        </w:rPr>
        <w:t>s</w:t>
      </w:r>
      <w:r w:rsidR="00B44DC9" w:rsidRPr="008F45CD">
        <w:rPr>
          <w:rFonts w:cstheme="minorHAnsi"/>
        </w:rPr>
        <w:t xml:space="preserve"> la plus large possible en s’appuyant sur des modèles éprouvés en territoires.</w:t>
      </w:r>
    </w:p>
    <w:p w:rsidR="00CF03BD" w:rsidRPr="00CF03BD" w:rsidRDefault="002176C0" w:rsidP="009E4EF9">
      <w:pPr>
        <w:spacing w:after="120"/>
        <w:jc w:val="both"/>
        <w:rPr>
          <w:rFonts w:cstheme="minorHAnsi"/>
          <w:bCs/>
        </w:rPr>
      </w:pPr>
      <w:r w:rsidRPr="008F45CD">
        <w:rPr>
          <w:rFonts w:cstheme="minorHAnsi"/>
        </w:rPr>
        <w:t>En lien avec les Comité</w:t>
      </w:r>
      <w:r w:rsidR="00CF03BD">
        <w:rPr>
          <w:rFonts w:cstheme="minorHAnsi"/>
        </w:rPr>
        <w:t>s</w:t>
      </w:r>
      <w:r w:rsidRPr="008F45CD">
        <w:rPr>
          <w:rFonts w:cstheme="minorHAnsi"/>
        </w:rPr>
        <w:t xml:space="preserve"> départementa</w:t>
      </w:r>
      <w:r w:rsidR="00CF03BD">
        <w:rPr>
          <w:rFonts w:cstheme="minorHAnsi"/>
        </w:rPr>
        <w:t>ux</w:t>
      </w:r>
      <w:r w:rsidRPr="008F45CD">
        <w:rPr>
          <w:rFonts w:cstheme="minorHAnsi"/>
        </w:rPr>
        <w:t xml:space="preserve"> de suivi de l’école inclusive</w:t>
      </w:r>
      <w:r w:rsidRPr="008F45CD">
        <w:rPr>
          <w:rFonts w:cstheme="minorHAnsi"/>
          <w:bCs/>
        </w:rPr>
        <w:t>, instance</w:t>
      </w:r>
      <w:r w:rsidR="00CF03BD">
        <w:rPr>
          <w:rFonts w:cstheme="minorHAnsi"/>
          <w:bCs/>
        </w:rPr>
        <w:t>s</w:t>
      </w:r>
      <w:r w:rsidRPr="008F45CD">
        <w:rPr>
          <w:rFonts w:cstheme="minorHAnsi"/>
          <w:bCs/>
        </w:rPr>
        <w:t xml:space="preserve"> </w:t>
      </w:r>
      <w:r w:rsidR="001C43D4" w:rsidRPr="008F45CD">
        <w:rPr>
          <w:rFonts w:cstheme="minorHAnsi"/>
          <w:bCs/>
        </w:rPr>
        <w:t>conjointe</w:t>
      </w:r>
      <w:r w:rsidR="00CF03BD">
        <w:rPr>
          <w:rFonts w:cstheme="minorHAnsi"/>
          <w:bCs/>
        </w:rPr>
        <w:t>s</w:t>
      </w:r>
      <w:r w:rsidR="001C43D4" w:rsidRPr="008F45CD">
        <w:rPr>
          <w:rFonts w:cstheme="minorHAnsi"/>
          <w:bCs/>
        </w:rPr>
        <w:t xml:space="preserve"> </w:t>
      </w:r>
      <w:r w:rsidRPr="008F45CD">
        <w:rPr>
          <w:rFonts w:cstheme="minorHAnsi"/>
          <w:bCs/>
        </w:rPr>
        <w:t xml:space="preserve">de gouvernance, de pilotage et de suivi de cette coopération et qui associe l’ensemble des parties prenantes, </w:t>
      </w:r>
      <w:r w:rsidR="00CF03BD">
        <w:rPr>
          <w:rFonts w:cstheme="minorHAnsi"/>
          <w:bCs/>
        </w:rPr>
        <w:t xml:space="preserve">il conviendra </w:t>
      </w:r>
      <w:r w:rsidR="009E4EF9">
        <w:rPr>
          <w:rFonts w:cstheme="minorHAnsi"/>
          <w:bCs/>
        </w:rPr>
        <w:t>de</w:t>
      </w:r>
      <w:r w:rsidR="009E4EF9">
        <w:rPr>
          <w:rStyle w:val="Marquedecommentaire"/>
        </w:rPr>
        <w:t xml:space="preserve"> </w:t>
      </w:r>
      <w:r w:rsidR="009E4EF9" w:rsidRPr="009E4EF9">
        <w:rPr>
          <w:rFonts w:cstheme="minorHAnsi"/>
          <w:bCs/>
        </w:rPr>
        <w:t>s</w:t>
      </w:r>
      <w:r w:rsidRPr="008F45CD">
        <w:rPr>
          <w:rFonts w:cstheme="minorHAnsi"/>
          <w:bCs/>
        </w:rPr>
        <w:t xml:space="preserve">tructurer le maillage territorial </w:t>
      </w:r>
      <w:r w:rsidR="001C43D4" w:rsidRPr="008F45CD">
        <w:rPr>
          <w:rFonts w:cstheme="minorHAnsi"/>
          <w:bCs/>
        </w:rPr>
        <w:t>départemental des différents dispositifs d’appui puis d’en assurer conjointement</w:t>
      </w:r>
      <w:r w:rsidRPr="008F45CD">
        <w:rPr>
          <w:rFonts w:cstheme="minorHAnsi"/>
          <w:bCs/>
        </w:rPr>
        <w:t xml:space="preserve"> le </w:t>
      </w:r>
      <w:proofErr w:type="spellStart"/>
      <w:r w:rsidRPr="008F45CD">
        <w:rPr>
          <w:rFonts w:cstheme="minorHAnsi"/>
          <w:bCs/>
        </w:rPr>
        <w:t>reporting</w:t>
      </w:r>
      <w:proofErr w:type="spellEnd"/>
      <w:r w:rsidR="001C43D4" w:rsidRPr="008F45CD">
        <w:rPr>
          <w:rFonts w:cstheme="minorHAnsi"/>
          <w:bCs/>
        </w:rPr>
        <w:t>.</w:t>
      </w:r>
    </w:p>
    <w:p w:rsidR="00C5260E" w:rsidRPr="000A44F0" w:rsidRDefault="000A44F0" w:rsidP="00183723">
      <w:pPr>
        <w:jc w:val="both"/>
        <w:rPr>
          <w:b/>
        </w:rPr>
      </w:pPr>
      <w:r w:rsidRPr="000A44F0">
        <w:rPr>
          <w:b/>
        </w:rPr>
        <w:t>1 – Diversifier les solution</w:t>
      </w:r>
      <w:r>
        <w:rPr>
          <w:b/>
        </w:rPr>
        <w:t>s</w:t>
      </w:r>
      <w:r w:rsidRPr="000A44F0">
        <w:rPr>
          <w:b/>
        </w:rPr>
        <w:t xml:space="preserve"> en explorant</w:t>
      </w:r>
      <w:r w:rsidR="00C5260E" w:rsidRPr="000A44F0">
        <w:rPr>
          <w:b/>
        </w:rPr>
        <w:t xml:space="preserve"> la mise en place de dispositifs variés</w:t>
      </w:r>
      <w:r w:rsidRPr="000A44F0">
        <w:rPr>
          <w:b/>
        </w:rPr>
        <w:t xml:space="preserve"> </w:t>
      </w:r>
      <w:r w:rsidR="00C5260E" w:rsidRPr="000A44F0">
        <w:rPr>
          <w:b/>
        </w:rPr>
        <w:t>:</w:t>
      </w:r>
    </w:p>
    <w:p w:rsidR="00C00701" w:rsidRPr="0072680C" w:rsidRDefault="00C00701" w:rsidP="003455C7">
      <w:pPr>
        <w:pStyle w:val="Paragraphedeliste"/>
        <w:numPr>
          <w:ilvl w:val="0"/>
          <w:numId w:val="5"/>
        </w:numPr>
        <w:spacing w:after="120"/>
        <w:ind w:left="709"/>
        <w:contextualSpacing w:val="0"/>
        <w:jc w:val="both"/>
        <w:rPr>
          <w:highlight w:val="yellow"/>
        </w:rPr>
      </w:pPr>
      <w:bookmarkStart w:id="0" w:name="_GoBack"/>
      <w:r w:rsidRPr="0072680C">
        <w:rPr>
          <w:highlight w:val="yellow"/>
        </w:rPr>
        <w:t xml:space="preserve">Il importe </w:t>
      </w:r>
      <w:r w:rsidRPr="0072680C">
        <w:rPr>
          <w:b/>
          <w:highlight w:val="yellow"/>
        </w:rPr>
        <w:t>d</w:t>
      </w:r>
      <w:r w:rsidR="002A7827" w:rsidRPr="0072680C">
        <w:rPr>
          <w:b/>
          <w:highlight w:val="yellow"/>
        </w:rPr>
        <w:t>e consolider</w:t>
      </w:r>
      <w:r w:rsidRPr="0072680C">
        <w:rPr>
          <w:b/>
          <w:highlight w:val="yellow"/>
        </w:rPr>
        <w:t xml:space="preserve"> les équipes mobiles d’appui médico-social à la scolarisation</w:t>
      </w:r>
      <w:r w:rsidRPr="0072680C">
        <w:rPr>
          <w:highlight w:val="yellow"/>
        </w:rPr>
        <w:t xml:space="preserve"> et de conforter leur </w:t>
      </w:r>
      <w:bookmarkEnd w:id="0"/>
      <w:r w:rsidRPr="0072680C">
        <w:rPr>
          <w:highlight w:val="yellow"/>
        </w:rPr>
        <w:t>déploiement</w:t>
      </w:r>
      <w:r w:rsidR="00A739E8" w:rsidRPr="0072680C">
        <w:rPr>
          <w:highlight w:val="yellow"/>
        </w:rPr>
        <w:t xml:space="preserve"> </w:t>
      </w:r>
      <w:r w:rsidR="00A739E8" w:rsidRPr="0072680C">
        <w:rPr>
          <w:rFonts w:cstheme="minorHAnsi"/>
          <w:bCs/>
          <w:highlight w:val="yellow"/>
        </w:rPr>
        <w:t xml:space="preserve">(circulaire </w:t>
      </w:r>
      <w:r w:rsidR="00A739E8" w:rsidRPr="0072680C">
        <w:rPr>
          <w:rStyle w:val="objetdutexte"/>
          <w:rFonts w:asciiTheme="minorHAnsi" w:hAnsiTheme="minorHAnsi" w:cstheme="minorHAnsi"/>
          <w:spacing w:val="-3"/>
          <w:sz w:val="22"/>
          <w:highlight w:val="yellow"/>
          <w:lang w:val="fr-FR"/>
        </w:rPr>
        <w:t xml:space="preserve">n° DGCS/SD3B/2019/138 </w:t>
      </w:r>
      <w:r w:rsidR="00A739E8" w:rsidRPr="0072680C">
        <w:rPr>
          <w:rFonts w:cstheme="minorHAnsi"/>
          <w:bCs/>
          <w:highlight w:val="yellow"/>
        </w:rPr>
        <w:t>du 14 juin 2019)</w:t>
      </w:r>
      <w:r w:rsidRPr="0072680C">
        <w:rPr>
          <w:highlight w:val="yellow"/>
        </w:rPr>
        <w:t xml:space="preserve">. L’instruction du 2 juin 2020 relative aux orientations de l’exercice 2020 pour la campagne budgétaire des ESMS prévoit la pérennisation et l’expansion de ce dispositif. Les équipes sont conçues pour intervenir </w:t>
      </w:r>
      <w:r w:rsidRPr="0072680C">
        <w:rPr>
          <w:color w:val="FF0000"/>
          <w:highlight w:val="yellow"/>
          <w:u w:val="single"/>
        </w:rPr>
        <w:t>en amont</w:t>
      </w:r>
      <w:r w:rsidRPr="0072680C">
        <w:rPr>
          <w:color w:val="FF0000"/>
          <w:highlight w:val="yellow"/>
        </w:rPr>
        <w:t xml:space="preserve"> </w:t>
      </w:r>
      <w:r w:rsidRPr="0072680C">
        <w:rPr>
          <w:highlight w:val="yellow"/>
        </w:rPr>
        <w:t xml:space="preserve">de toute décision d’orientation médico-sociale par la CDAPH. L’objectif est de permettre qu’à terme chaque établissement scolaire puisse s’adresser à une équipe mobile. Elles apportent aux équipes éducatives des écoles un appui en expertise et conseil et assurent, </w:t>
      </w:r>
      <w:r w:rsidRPr="0072680C">
        <w:rPr>
          <w:color w:val="FF0000"/>
          <w:highlight w:val="yellow"/>
          <w:u w:val="single"/>
        </w:rPr>
        <w:t>exceptionnellemen</w:t>
      </w:r>
      <w:r w:rsidRPr="0072680C">
        <w:rPr>
          <w:color w:val="FF0000"/>
          <w:highlight w:val="yellow"/>
        </w:rPr>
        <w:t>t</w:t>
      </w:r>
      <w:r w:rsidRPr="0072680C">
        <w:rPr>
          <w:highlight w:val="yellow"/>
        </w:rPr>
        <w:t xml:space="preserve">, un accompagnement individuel dans l’attente d’une décision de la CDAPH. </w:t>
      </w:r>
    </w:p>
    <w:p w:rsidR="003455C7" w:rsidRDefault="00C00701" w:rsidP="00C00701">
      <w:pPr>
        <w:pStyle w:val="Paragraphedeliste"/>
        <w:spacing w:after="120"/>
        <w:contextualSpacing w:val="0"/>
        <w:jc w:val="both"/>
      </w:pPr>
      <w:r>
        <w:t>Les premiers retours d’expérience des dispositifs préfigurateurs tendent à montrer que les projets pourraient être construits en veillant aux conditions de « mobilisation » de l’équipe mobile, afin qu’elle ne soit pas appelée trop tardivement, sur des situations critiques installées, et à préserver le caractère subsidiaire de son intervention lorsqu’un ESMS est d’ores et déjà en charge d’accompagnement au sein d’un établissement scolaire. Le cahier des cha</w:t>
      </w:r>
      <w:r w:rsidR="00CF03BD">
        <w:t>rges à venir prendra en compte l</w:t>
      </w:r>
      <w:r>
        <w:t>es retours d’expérience.</w:t>
      </w:r>
      <w:r w:rsidR="003455C7" w:rsidRPr="003455C7">
        <w:t xml:space="preserve"> </w:t>
      </w:r>
    </w:p>
    <w:p w:rsidR="00C00701" w:rsidRDefault="003455C7" w:rsidP="00C00701">
      <w:pPr>
        <w:pStyle w:val="Paragraphedeliste"/>
        <w:spacing w:after="120"/>
        <w:contextualSpacing w:val="0"/>
        <w:jc w:val="both"/>
      </w:pPr>
      <w:r>
        <w:t>Selon la configuration du territoire, il peut être pertinent de mobiliser plusieurs équipes médico-sociales sur un même département plutôt qu’une seule équipe départementale</w:t>
      </w:r>
      <w:r w:rsidR="00CF03BD">
        <w:t>.</w:t>
      </w:r>
    </w:p>
    <w:p w:rsidR="004A5134" w:rsidRDefault="004A5134" w:rsidP="00C00701">
      <w:pPr>
        <w:pStyle w:val="Paragraphedeliste"/>
        <w:numPr>
          <w:ilvl w:val="0"/>
          <w:numId w:val="4"/>
        </w:numPr>
        <w:spacing w:after="120"/>
        <w:contextualSpacing w:val="0"/>
        <w:jc w:val="both"/>
      </w:pPr>
      <w:r w:rsidRPr="00B92C0C">
        <w:rPr>
          <w:b/>
        </w:rPr>
        <w:t>Coopération à la scolarisation individuelle</w:t>
      </w:r>
      <w:r>
        <w:t xml:space="preserve"> des établissements et services médico-sociaux</w:t>
      </w:r>
      <w:r w:rsidR="00752F70">
        <w:t xml:space="preserve"> tenant compte de l’organisation en PIAL</w:t>
      </w:r>
      <w:r>
        <w:t xml:space="preserve">, ou coopération d’un établissement et service médico-social avec une ULIS ;  </w:t>
      </w:r>
    </w:p>
    <w:p w:rsidR="00CF03BD" w:rsidRDefault="00455461" w:rsidP="00CF03BD">
      <w:pPr>
        <w:pStyle w:val="Paragraphedeliste"/>
        <w:numPr>
          <w:ilvl w:val="0"/>
          <w:numId w:val="4"/>
        </w:numPr>
        <w:spacing w:after="120"/>
        <w:contextualSpacing w:val="0"/>
        <w:jc w:val="both"/>
      </w:pPr>
      <w:r w:rsidRPr="00B92C0C">
        <w:rPr>
          <w:b/>
        </w:rPr>
        <w:t>Développement de d</w:t>
      </w:r>
      <w:r w:rsidR="00C5260E" w:rsidRPr="00B92C0C">
        <w:rPr>
          <w:b/>
        </w:rPr>
        <w:t>ispositif</w:t>
      </w:r>
      <w:r w:rsidRPr="00B92C0C">
        <w:rPr>
          <w:b/>
        </w:rPr>
        <w:t>s</w:t>
      </w:r>
      <w:r w:rsidR="00C5260E" w:rsidRPr="00B92C0C">
        <w:rPr>
          <w:b/>
        </w:rPr>
        <w:t xml:space="preserve"> de scolarisation adaptée collective</w:t>
      </w:r>
      <w:r w:rsidR="00C5260E" w:rsidRPr="00F9641A">
        <w:t xml:space="preserve"> d’élèves en situation de handicap déployé</w:t>
      </w:r>
      <w:r>
        <w:t>s</w:t>
      </w:r>
      <w:r w:rsidR="00C5260E" w:rsidRPr="00F9641A">
        <w:t xml:space="preserve"> par un établissement scolaire, </w:t>
      </w:r>
      <w:r w:rsidR="00C5260E" w:rsidRPr="00B92C0C">
        <w:rPr>
          <w:b/>
        </w:rPr>
        <w:t>organisé</w:t>
      </w:r>
      <w:r w:rsidRPr="00B92C0C">
        <w:rPr>
          <w:b/>
        </w:rPr>
        <w:t>s</w:t>
      </w:r>
      <w:r w:rsidR="00C5260E" w:rsidRPr="00B92C0C">
        <w:rPr>
          <w:b/>
        </w:rPr>
        <w:t xml:space="preserve"> en coopération</w:t>
      </w:r>
      <w:r w:rsidR="00C5260E" w:rsidRPr="00F9641A">
        <w:t xml:space="preserve"> avec un établissement ou serv</w:t>
      </w:r>
      <w:r w:rsidR="00C5260E">
        <w:t>ice médico-social, ou plusieurs et</w:t>
      </w:r>
      <w:r w:rsidR="00C5260E" w:rsidRPr="00C5260E">
        <w:t xml:space="preserve"> </w:t>
      </w:r>
      <w:r w:rsidR="00C5260E">
        <w:t>visant</w:t>
      </w:r>
      <w:r w:rsidR="00C5260E" w:rsidRPr="00F9641A">
        <w:t xml:space="preserve"> à assurer l’inclusion dans leurs classes de niveau (ou « de référence ») des élèves qui y sont scolarisés, au rythme de leurs apprentissages et de leur progression</w:t>
      </w:r>
      <w:r w:rsidR="00C5260E">
        <w:t>,</w:t>
      </w:r>
      <w:r w:rsidR="00C5260E" w:rsidRPr="00F9641A">
        <w:t xml:space="preserve"> en apportant accessibilité et moyens de compensation adaptés. L’établissement ou le service médico-social en convention avec l’établissement scolaire et présent dans celui-ci apporte sa coopération dans l’accompagnement thérapeutique, éducatif et pédagogique des élèves en situation de handicap scolarisés par </w:t>
      </w:r>
      <w:r w:rsidR="00C5260E">
        <w:t>le dispositif.</w:t>
      </w:r>
    </w:p>
    <w:p w:rsidR="00C5260E" w:rsidRPr="00F9641A" w:rsidRDefault="00C5260E" w:rsidP="00C00701">
      <w:pPr>
        <w:pStyle w:val="Paragraphedeliste"/>
        <w:spacing w:after="120"/>
        <w:contextualSpacing w:val="0"/>
        <w:jc w:val="both"/>
      </w:pPr>
      <w:r>
        <w:t xml:space="preserve">Ce dispositif s’inspire des ULIS ou des unités élémentaires créées dans le cadre de la stratégie nationale autisme </w:t>
      </w:r>
      <w:r w:rsidR="00455461">
        <w:t>au sein des</w:t>
      </w:r>
      <w:r>
        <w:t xml:space="preserve"> TND. Il est rattaché à l’école d’implantation, les élèves en situation de handicap qui y sont scolarisés bénéficient de l’ensemble des droits attachés au statut </w:t>
      </w:r>
      <w:r w:rsidR="004B17BF">
        <w:t>d’élève.</w:t>
      </w:r>
    </w:p>
    <w:p w:rsidR="00C5260E" w:rsidRDefault="00920FAE" w:rsidP="00C00701">
      <w:pPr>
        <w:pStyle w:val="Paragraphedeliste"/>
        <w:numPr>
          <w:ilvl w:val="0"/>
          <w:numId w:val="4"/>
        </w:numPr>
        <w:spacing w:after="120"/>
        <w:contextualSpacing w:val="0"/>
        <w:jc w:val="both"/>
      </w:pPr>
      <w:r>
        <w:rPr>
          <w:b/>
        </w:rPr>
        <w:t>Mise en place</w:t>
      </w:r>
      <w:r w:rsidRPr="00B92C0C">
        <w:rPr>
          <w:b/>
        </w:rPr>
        <w:t xml:space="preserve"> </w:t>
      </w:r>
      <w:r w:rsidR="004A5134" w:rsidRPr="00B92C0C">
        <w:rPr>
          <w:b/>
        </w:rPr>
        <w:t>de « classes d’autorégulation ».</w:t>
      </w:r>
      <w:r w:rsidR="004A5134" w:rsidRPr="004A5134">
        <w:t xml:space="preserve"> Les élèves en </w:t>
      </w:r>
      <w:r w:rsidR="004A5134">
        <w:t>situation de handicap, comme tout élève,</w:t>
      </w:r>
      <w:r w:rsidR="004A5134" w:rsidRPr="001457FC">
        <w:t xml:space="preserve"> </w:t>
      </w:r>
      <w:r w:rsidR="004A5134">
        <w:t xml:space="preserve">sont scolarisés dans les classes ordinaires d’une école </w:t>
      </w:r>
      <w:r w:rsidR="004A5134" w:rsidRPr="007425D7">
        <w:t>élémentaire</w:t>
      </w:r>
      <w:r w:rsidR="004A5134">
        <w:t>.</w:t>
      </w:r>
      <w:r w:rsidR="004A5134" w:rsidRPr="001457FC">
        <w:t xml:space="preserve"> </w:t>
      </w:r>
      <w:r w:rsidR="00C00701">
        <w:t>À</w:t>
      </w:r>
      <w:r w:rsidR="004A5134">
        <w:t xml:space="preserve"> l’inverse de l’unité d’enseignement ou de l’unité localisée d’inclusion scolaire,</w:t>
      </w:r>
      <w:r w:rsidR="004A5134" w:rsidRPr="00F9641A">
        <w:t xml:space="preserve"> </w:t>
      </w:r>
      <w:r w:rsidR="004A5134" w:rsidRPr="001457FC">
        <w:t>dispositif</w:t>
      </w:r>
      <w:r w:rsidR="004A5134">
        <w:t xml:space="preserve">s </w:t>
      </w:r>
      <w:r w:rsidR="004A5134" w:rsidRPr="001457FC">
        <w:t>collectif</w:t>
      </w:r>
      <w:r w:rsidR="004A5134">
        <w:t>s</w:t>
      </w:r>
      <w:r w:rsidR="004A5134" w:rsidRPr="001457FC">
        <w:t xml:space="preserve"> de scolarisation</w:t>
      </w:r>
      <w:r w:rsidR="004A5134">
        <w:t>, les classes d’autorégulation visent</w:t>
      </w:r>
      <w:r w:rsidR="004A5134" w:rsidRPr="001457FC">
        <w:t xml:space="preserve"> </w:t>
      </w:r>
      <w:r w:rsidR="004A5134" w:rsidRPr="001457FC">
        <w:lastRenderedPageBreak/>
        <w:t>une scolarité à temps complet en classe ordinaire et</w:t>
      </w:r>
      <w:r w:rsidR="004A5134">
        <w:t xml:space="preserve"> cette scolarisation est appuyée au quotidien par une équipe médico-sociale implantée dans l’école</w:t>
      </w:r>
      <w:r w:rsidR="00E63407">
        <w:t xml:space="preserve"> (</w:t>
      </w:r>
      <w:r w:rsidR="004B17BF">
        <w:t>ce dispositif initié en réponse</w:t>
      </w:r>
      <w:r w:rsidR="00B44DC9">
        <w:t xml:space="preserve"> aux élèves avec TSA est décrit dans l’</w:t>
      </w:r>
      <w:r w:rsidR="00E63407">
        <w:t>annexe 5 stratégie autisme)</w:t>
      </w:r>
      <w:r w:rsidR="004B17BF">
        <w:t>.</w:t>
      </w:r>
    </w:p>
    <w:p w:rsidR="00305CA7" w:rsidRDefault="004A5134" w:rsidP="00C00701">
      <w:pPr>
        <w:pStyle w:val="Paragraphedeliste"/>
        <w:numPr>
          <w:ilvl w:val="0"/>
          <w:numId w:val="4"/>
        </w:numPr>
        <w:spacing w:after="120"/>
        <w:contextualSpacing w:val="0"/>
        <w:jc w:val="both"/>
      </w:pPr>
      <w:r w:rsidRPr="00B92C0C">
        <w:rPr>
          <w:b/>
        </w:rPr>
        <w:t>Poursuite de l’externalisation des unités d’enseignement</w:t>
      </w:r>
      <w:r>
        <w:t>. À cet égard, la</w:t>
      </w:r>
      <w:r w:rsidR="00305CA7" w:rsidRPr="00F9641A">
        <w:t xml:space="preserve"> </w:t>
      </w:r>
      <w:proofErr w:type="spellStart"/>
      <w:r w:rsidR="00305CA7" w:rsidRPr="00F9641A">
        <w:t>co</w:t>
      </w:r>
      <w:proofErr w:type="spellEnd"/>
      <w:r w:rsidR="00305CA7" w:rsidRPr="00F9641A">
        <w:t xml:space="preserve">-signature </w:t>
      </w:r>
      <w:r w:rsidR="00131C31" w:rsidRPr="004A5134">
        <w:t>par le Ministre de l’éducation nationale et de la jeunesse et la secrétaire d’Etat chargée des personnes handicapées du</w:t>
      </w:r>
      <w:r w:rsidR="00305CA7" w:rsidRPr="004A5134">
        <w:t xml:space="preserve"> cahier des charges</w:t>
      </w:r>
      <w:r w:rsidR="00131C31" w:rsidRPr="004A5134">
        <w:t xml:space="preserve"> des unités d’enseignement pour enfants et adolescents polyhandicapés</w:t>
      </w:r>
      <w:r w:rsidR="00305CA7" w:rsidRPr="004A5134">
        <w:t>, préparé conjointement</w:t>
      </w:r>
      <w:r w:rsidR="00305CA7" w:rsidRPr="00F9641A">
        <w:t xml:space="preserve"> par les services, manifeste l’importance </w:t>
      </w:r>
      <w:r w:rsidR="00131C31">
        <w:t xml:space="preserve">de </w:t>
      </w:r>
      <w:r w:rsidR="00931F22">
        <w:t xml:space="preserve">votre </w:t>
      </w:r>
      <w:r w:rsidR="00305CA7" w:rsidRPr="00F9641A">
        <w:t>engagement conjoint</w:t>
      </w:r>
      <w:r w:rsidR="00931F22">
        <w:t>,</w:t>
      </w:r>
      <w:r w:rsidR="00305CA7" w:rsidRPr="00F9641A">
        <w:t xml:space="preserve"> services académiques et agences régionales de santé</w:t>
      </w:r>
      <w:r w:rsidR="00931F22">
        <w:t>,</w:t>
      </w:r>
      <w:r w:rsidR="00305CA7" w:rsidRPr="00F9641A">
        <w:t xml:space="preserve"> pour appuyer </w:t>
      </w:r>
      <w:r w:rsidR="00131C31">
        <w:t xml:space="preserve">le </w:t>
      </w:r>
      <w:r w:rsidR="00131C31" w:rsidRPr="00F9641A">
        <w:t>déploie</w:t>
      </w:r>
      <w:r w:rsidR="00131C31">
        <w:t xml:space="preserve">ment de </w:t>
      </w:r>
      <w:r w:rsidR="00131C31" w:rsidRPr="00F9641A">
        <w:t>ces unités d’enseignement</w:t>
      </w:r>
      <w:r w:rsidR="00131C31">
        <w:t xml:space="preserve"> </w:t>
      </w:r>
      <w:r w:rsidR="00305CA7" w:rsidRPr="00F9641A">
        <w:t>qui permettront d’améliorer la scolarisation des enfants et adolescents polyhandicapés</w:t>
      </w:r>
      <w:r w:rsidR="00920FAE">
        <w:t>.</w:t>
      </w:r>
    </w:p>
    <w:p w:rsidR="003455C7" w:rsidRDefault="003455C7" w:rsidP="003455C7">
      <w:pPr>
        <w:pStyle w:val="Paragraphedeliste"/>
        <w:spacing w:after="120"/>
        <w:contextualSpacing w:val="0"/>
        <w:jc w:val="both"/>
      </w:pPr>
    </w:p>
    <w:p w:rsidR="000C5EE8" w:rsidRPr="000A44F0" w:rsidRDefault="000A44F0" w:rsidP="002176C0">
      <w:pPr>
        <w:spacing w:after="120"/>
        <w:jc w:val="both"/>
      </w:pPr>
      <w:r>
        <w:rPr>
          <w:b/>
        </w:rPr>
        <w:t>2 - S’appuyer sur l</w:t>
      </w:r>
      <w:r w:rsidR="001230FB" w:rsidRPr="000A44F0">
        <w:rPr>
          <w:b/>
        </w:rPr>
        <w:t>es</w:t>
      </w:r>
      <w:r w:rsidR="001C43D4" w:rsidRPr="000A44F0">
        <w:rPr>
          <w:b/>
        </w:rPr>
        <w:t xml:space="preserve"> communautés </w:t>
      </w:r>
      <w:r w:rsidR="007C2E5F">
        <w:rPr>
          <w:b/>
        </w:rPr>
        <w:t>d’accompagnement</w:t>
      </w:r>
      <w:r w:rsidR="001C43D4" w:rsidRPr="000A44F0">
        <w:rPr>
          <w:b/>
        </w:rPr>
        <w:t xml:space="preserve">, </w:t>
      </w:r>
      <w:r w:rsidRPr="000A44F0">
        <w:rPr>
          <w:b/>
        </w:rPr>
        <w:t>accessibles</w:t>
      </w:r>
      <w:r w:rsidR="001C43D4" w:rsidRPr="000A44F0">
        <w:rPr>
          <w:b/>
        </w:rPr>
        <w:t xml:space="preserve"> depuis le 8 juin </w:t>
      </w:r>
      <w:r w:rsidRPr="000A44F0">
        <w:rPr>
          <w:b/>
        </w:rPr>
        <w:t>par le</w:t>
      </w:r>
      <w:r w:rsidR="001C43D4" w:rsidRPr="000A44F0">
        <w:rPr>
          <w:b/>
        </w:rPr>
        <w:t xml:space="preserve"> 0</w:t>
      </w:r>
      <w:r w:rsidRPr="000A44F0">
        <w:rPr>
          <w:b/>
        </w:rPr>
        <w:t xml:space="preserve"> </w:t>
      </w:r>
      <w:r w:rsidR="001C43D4" w:rsidRPr="000A44F0">
        <w:rPr>
          <w:b/>
        </w:rPr>
        <w:t>800 360</w:t>
      </w:r>
      <w:r>
        <w:rPr>
          <w:b/>
        </w:rPr>
        <w:t> </w:t>
      </w:r>
      <w:r w:rsidR="001C43D4" w:rsidRPr="000A44F0">
        <w:rPr>
          <w:b/>
        </w:rPr>
        <w:t>360</w:t>
      </w:r>
      <w:r w:rsidRPr="000A44F0">
        <w:rPr>
          <w:b/>
        </w:rPr>
        <w:t xml:space="preserve"> </w:t>
      </w:r>
      <w:r w:rsidRPr="000A44F0">
        <w:t xml:space="preserve">(mesure CNH </w:t>
      </w:r>
      <w:r w:rsidR="004B17BF">
        <w:t>accélérée et adaptée à la période de crise, dont la cible sera travaillée à l’aune des retours d’expérience à l’horizon 2021</w:t>
      </w:r>
      <w:r>
        <w:t>)</w:t>
      </w:r>
    </w:p>
    <w:p w:rsidR="000C5EE8" w:rsidRDefault="000C5EE8" w:rsidP="000A44F0">
      <w:pPr>
        <w:spacing w:after="120"/>
        <w:ind w:left="708"/>
        <w:jc w:val="both"/>
      </w:pPr>
      <w:r>
        <w:t xml:space="preserve">En anticipation de la mise en œuvre des </w:t>
      </w:r>
      <w:r w:rsidRPr="005F7028">
        <w:t>400 communautés territoriales d’accompagnement</w:t>
      </w:r>
      <w:r>
        <w:t xml:space="preserve"> et en appui d</w:t>
      </w:r>
      <w:r w:rsidRPr="005F7028">
        <w:t xml:space="preserve">es initiatives de coopération renforcée émergentes dans chaque territoire pour accompagner la sortie de </w:t>
      </w:r>
      <w:r>
        <w:t xml:space="preserve">la </w:t>
      </w:r>
      <w:r w:rsidRPr="005F7028">
        <w:t>crise</w:t>
      </w:r>
      <w:r>
        <w:t xml:space="preserve"> liée à la Covid-19,</w:t>
      </w:r>
      <w:r w:rsidRPr="005F7028">
        <w:t xml:space="preserve"> </w:t>
      </w:r>
      <w:r>
        <w:t>l</w:t>
      </w:r>
      <w:r w:rsidRPr="005F7028">
        <w:t xml:space="preserve">e lancement </w:t>
      </w:r>
      <w:r>
        <w:t>d’une centaine de</w:t>
      </w:r>
      <w:r w:rsidR="00972807">
        <w:t xml:space="preserve"> </w:t>
      </w:r>
      <w:r>
        <w:t xml:space="preserve">communautés </w:t>
      </w:r>
      <w:r w:rsidR="00972807">
        <w:t>d’accompagnement</w:t>
      </w:r>
      <w:r w:rsidRPr="005F7028">
        <w:t xml:space="preserve"> doit permettre dès maintenant d’accompagner les choix des personnes en situation de handicap, en facilitant l’accès aux réponses et </w:t>
      </w:r>
      <w:r>
        <w:t>solutions territoriales.</w:t>
      </w:r>
    </w:p>
    <w:p w:rsidR="00E47500" w:rsidRDefault="000C5EE8" w:rsidP="000A44F0">
      <w:pPr>
        <w:spacing w:after="120"/>
        <w:ind w:left="708"/>
        <w:jc w:val="both"/>
      </w:pPr>
      <w:r>
        <w:t>Elles</w:t>
      </w:r>
      <w:r w:rsidR="000A44F0">
        <w:t xml:space="preserve"> ont vocation à </w:t>
      </w:r>
      <w:r w:rsidR="001230FB" w:rsidRPr="008F45CD">
        <w:t>contribue</w:t>
      </w:r>
      <w:r w:rsidR="000A44F0">
        <w:t>r</w:t>
      </w:r>
      <w:r w:rsidR="00241726" w:rsidRPr="005F7028">
        <w:t xml:space="preserve"> </w:t>
      </w:r>
      <w:r w:rsidR="00074510" w:rsidRPr="005F7028">
        <w:t>à atteindre</w:t>
      </w:r>
      <w:r w:rsidR="00074510">
        <w:t xml:space="preserve"> </w:t>
      </w:r>
      <w:r w:rsidR="00074510" w:rsidRPr="005F7028">
        <w:t>les objectifs d</w:t>
      </w:r>
      <w:r w:rsidR="00074510">
        <w:t>e l’</w:t>
      </w:r>
      <w:r w:rsidR="00074510" w:rsidRPr="005F7028">
        <w:t>école inclusive</w:t>
      </w:r>
      <w:r w:rsidR="00074510" w:rsidRPr="001C43D4">
        <w:t xml:space="preserve"> </w:t>
      </w:r>
      <w:r w:rsidR="001C43D4">
        <w:t xml:space="preserve">en </w:t>
      </w:r>
      <w:r w:rsidR="00074510">
        <w:t>coopération avec les</w:t>
      </w:r>
      <w:r w:rsidR="00074510" w:rsidRPr="00455461">
        <w:t xml:space="preserve"> commissions d'affectation spécifique</w:t>
      </w:r>
      <w:r w:rsidR="008F45CD">
        <w:t>,</w:t>
      </w:r>
      <w:r w:rsidR="00074510" w:rsidRPr="00455461">
        <w:t xml:space="preserve"> auxquelles elles pourront apporter leur connaissance </w:t>
      </w:r>
      <w:r>
        <w:t>des acteurs</w:t>
      </w:r>
      <w:r w:rsidR="002A7827">
        <w:t xml:space="preserve"> et de leur méthodologie d’intervention</w:t>
      </w:r>
      <w:r>
        <w:t>,</w:t>
      </w:r>
      <w:r w:rsidR="00074510" w:rsidRPr="00455461">
        <w:t xml:space="preserve"> des différents partenariats et</w:t>
      </w:r>
      <w:r>
        <w:t xml:space="preserve"> d</w:t>
      </w:r>
      <w:r w:rsidR="002A7827">
        <w:t>e leurs</w:t>
      </w:r>
      <w:r w:rsidR="00074510" w:rsidRPr="00455461">
        <w:t xml:space="preserve"> initiatives </w:t>
      </w:r>
      <w:r w:rsidR="002A7827">
        <w:t>communes</w:t>
      </w:r>
      <w:r w:rsidR="00074510" w:rsidRPr="00455461">
        <w:t xml:space="preserve"> sur le territoire.</w:t>
      </w:r>
      <w:r w:rsidR="00074510">
        <w:t xml:space="preserve"> </w:t>
      </w:r>
      <w:r w:rsidR="008F45CD">
        <w:t xml:space="preserve">La composition des commissions côté médico-social </w:t>
      </w:r>
      <w:r w:rsidR="00E47500">
        <w:t xml:space="preserve">devra être pensée pour mettre en synergie (à 360 degré) </w:t>
      </w:r>
      <w:r>
        <w:t>l</w:t>
      </w:r>
      <w:r w:rsidR="00E47500">
        <w:t>es dispositifs pédagogiques, médico-éducatifs, d’accès aux a</w:t>
      </w:r>
      <w:r>
        <w:t xml:space="preserve">ctivités de loisirs </w:t>
      </w:r>
      <w:r w:rsidR="00E47500">
        <w:t>de jeunesse</w:t>
      </w:r>
      <w:r w:rsidR="002A7827">
        <w:t>, aux dispositifs d’accès à l’emploi</w:t>
      </w:r>
      <w:r w:rsidR="00E47500">
        <w:t>, d’accès au</w:t>
      </w:r>
      <w:r w:rsidR="002A7827">
        <w:t>x</w:t>
      </w:r>
      <w:r w:rsidR="00E47500">
        <w:t xml:space="preserve"> soin</w:t>
      </w:r>
      <w:r>
        <w:t>s</w:t>
      </w:r>
      <w:r w:rsidR="00E47500">
        <w:t>, d’aide à domicile (aidants familiaux)</w:t>
      </w:r>
      <w:r w:rsidR="002A7827">
        <w:t>, etc.</w:t>
      </w:r>
    </w:p>
    <w:p w:rsidR="000367EF" w:rsidRDefault="000367EF" w:rsidP="000367EF">
      <w:pPr>
        <w:spacing w:after="120"/>
        <w:rPr>
          <w:b/>
        </w:rPr>
      </w:pPr>
    </w:p>
    <w:p w:rsidR="000367EF" w:rsidRPr="003455C7" w:rsidRDefault="000367EF" w:rsidP="009E4EF9">
      <w:pPr>
        <w:spacing w:after="120"/>
        <w:jc w:val="both"/>
        <w:rPr>
          <w:b/>
        </w:rPr>
      </w:pPr>
      <w:r>
        <w:rPr>
          <w:b/>
        </w:rPr>
        <w:t xml:space="preserve">3 - </w:t>
      </w:r>
      <w:r w:rsidRPr="003455C7">
        <w:rPr>
          <w:b/>
        </w:rPr>
        <w:t>Une instruction budgétaire permettant souplesse</w:t>
      </w:r>
      <w:r>
        <w:rPr>
          <w:b/>
        </w:rPr>
        <w:t xml:space="preserve"> et</w:t>
      </w:r>
      <w:r w:rsidRPr="003455C7">
        <w:rPr>
          <w:b/>
        </w:rPr>
        <w:t xml:space="preserve"> mise en œuvre des réponses aux besoins les plus prégnants sur chaque territoire</w:t>
      </w:r>
    </w:p>
    <w:p w:rsidR="000367EF" w:rsidRDefault="00FB4D22" w:rsidP="008F45CD">
      <w:pPr>
        <w:spacing w:after="120"/>
        <w:jc w:val="both"/>
      </w:pPr>
      <w:r w:rsidRPr="00455461">
        <w:t xml:space="preserve">Sur le plan budgétaire, </w:t>
      </w:r>
      <w:r w:rsidR="00B92C0C">
        <w:t>l</w:t>
      </w:r>
      <w:r w:rsidR="00B92C0C" w:rsidRPr="00C00701">
        <w:t>’instruction</w:t>
      </w:r>
      <w:r w:rsidR="00B92C0C">
        <w:t xml:space="preserve"> du </w:t>
      </w:r>
      <w:r w:rsidR="00B92C0C" w:rsidRPr="008F71BF">
        <w:t>2 juin 2020 relative aux orientations de l’exercice 2020 pour la campagne budgétaire des ESMS (PA/PH)</w:t>
      </w:r>
      <w:r w:rsidR="00B92C0C">
        <w:t xml:space="preserve"> prévoit</w:t>
      </w:r>
      <w:r w:rsidR="000367EF">
        <w:t xml:space="preserve"> : </w:t>
      </w:r>
    </w:p>
    <w:p w:rsidR="000367EF" w:rsidRPr="0044125B" w:rsidRDefault="0044125B" w:rsidP="0044125B">
      <w:pPr>
        <w:pStyle w:val="Paragraphedeliste"/>
        <w:numPr>
          <w:ilvl w:val="0"/>
          <w:numId w:val="8"/>
        </w:numPr>
        <w:spacing w:after="120"/>
        <w:jc w:val="both"/>
        <w:rPr>
          <w:rFonts w:cstheme="minorHAnsi"/>
        </w:rPr>
      </w:pPr>
      <w:r>
        <w:rPr>
          <w:rFonts w:cstheme="minorHAnsi"/>
          <w:b/>
        </w:rPr>
        <w:t>L</w:t>
      </w:r>
      <w:r w:rsidR="00B46326" w:rsidRPr="0044125B">
        <w:rPr>
          <w:rFonts w:cstheme="minorHAnsi"/>
          <w:b/>
        </w:rPr>
        <w:t xml:space="preserve">e renforcement et le déploiement des équipes mobiles </w:t>
      </w:r>
      <w:r w:rsidR="00B46326" w:rsidRPr="0044125B">
        <w:rPr>
          <w:rFonts w:cstheme="minorHAnsi"/>
        </w:rPr>
        <w:t>(10 M€)</w:t>
      </w:r>
      <w:r>
        <w:rPr>
          <w:rFonts w:cstheme="minorHAnsi"/>
        </w:rPr>
        <w:t>.</w:t>
      </w:r>
    </w:p>
    <w:p w:rsidR="000367EF" w:rsidRPr="0044125B" w:rsidRDefault="0044125B" w:rsidP="0044125B">
      <w:pPr>
        <w:pStyle w:val="Paragraphedeliste"/>
        <w:numPr>
          <w:ilvl w:val="0"/>
          <w:numId w:val="8"/>
        </w:numPr>
        <w:spacing w:after="120"/>
        <w:jc w:val="both"/>
        <w:rPr>
          <w:rFonts w:cstheme="minorHAnsi"/>
        </w:rPr>
      </w:pPr>
      <w:r>
        <w:rPr>
          <w:rFonts w:cstheme="minorHAnsi"/>
          <w:b/>
        </w:rPr>
        <w:t>Le</w:t>
      </w:r>
      <w:r w:rsidR="000367EF" w:rsidRPr="0044125B">
        <w:rPr>
          <w:rFonts w:cstheme="minorHAnsi"/>
          <w:b/>
        </w:rPr>
        <w:t xml:space="preserve"> soutien de la constitution des communautés territoriales</w:t>
      </w:r>
      <w:r w:rsidR="000367EF" w:rsidRPr="0044125B">
        <w:rPr>
          <w:rFonts w:cstheme="minorHAnsi"/>
        </w:rPr>
        <w:t xml:space="preserve"> dans chaque département</w:t>
      </w:r>
      <w:r w:rsidR="00972807">
        <w:rPr>
          <w:rFonts w:cstheme="minorHAnsi"/>
        </w:rPr>
        <w:t>.</w:t>
      </w:r>
      <w:r w:rsidR="000367EF" w:rsidRPr="0044125B">
        <w:rPr>
          <w:rFonts w:cstheme="minorHAnsi"/>
        </w:rPr>
        <w:t xml:space="preserve"> (10 M€) </w:t>
      </w:r>
    </w:p>
    <w:p w:rsidR="00FB4D22" w:rsidRDefault="0044125B" w:rsidP="0044125B">
      <w:pPr>
        <w:pStyle w:val="Paragraphedeliste"/>
        <w:numPr>
          <w:ilvl w:val="0"/>
          <w:numId w:val="8"/>
        </w:numPr>
        <w:spacing w:after="120"/>
        <w:jc w:val="both"/>
      </w:pPr>
      <w:r>
        <w:rPr>
          <w:b/>
        </w:rPr>
        <w:t>L</w:t>
      </w:r>
      <w:r w:rsidR="000367EF" w:rsidRPr="0044125B">
        <w:rPr>
          <w:b/>
        </w:rPr>
        <w:t>e</w:t>
      </w:r>
      <w:r w:rsidR="00FB4D22" w:rsidRPr="0044125B">
        <w:rPr>
          <w:b/>
        </w:rPr>
        <w:t xml:space="preserve"> développement des solutions d'acc</w:t>
      </w:r>
      <w:r w:rsidR="00B92C0C" w:rsidRPr="0044125B">
        <w:rPr>
          <w:b/>
        </w:rPr>
        <w:t>ompagnement mobilisées par les c</w:t>
      </w:r>
      <w:r w:rsidR="00FB4D22" w:rsidRPr="0044125B">
        <w:rPr>
          <w:b/>
        </w:rPr>
        <w:t xml:space="preserve">ommunautés </w:t>
      </w:r>
      <w:r w:rsidR="000367EF">
        <w:t>en lien avec l’école inclusive (réponse SESSAD notamment)</w:t>
      </w:r>
      <w:r w:rsidR="00FB4D22" w:rsidRPr="00455461">
        <w:t xml:space="preserve">. </w:t>
      </w:r>
    </w:p>
    <w:p w:rsidR="008F45CD" w:rsidRPr="00691BC0" w:rsidDel="003933C6" w:rsidRDefault="0044125B" w:rsidP="009E4EF9">
      <w:pPr>
        <w:pStyle w:val="Paragraphedeliste"/>
        <w:numPr>
          <w:ilvl w:val="0"/>
          <w:numId w:val="6"/>
        </w:numPr>
        <w:spacing w:before="120" w:after="120"/>
        <w:jc w:val="both"/>
        <w:rPr>
          <w:rFonts w:cstheme="minorHAnsi"/>
          <w:b/>
        </w:rPr>
      </w:pPr>
      <w:r w:rsidRPr="0044125B">
        <w:rPr>
          <w:rFonts w:cstheme="minorHAnsi"/>
          <w:b/>
          <w:bCs/>
        </w:rPr>
        <w:t>L’amplification de l’installation d’unités d’enseignements, d’équipe mobile et de dispositifs d’autorégulation</w:t>
      </w:r>
      <w:r w:rsidRPr="0044125B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au titre de la stratégie autisme au sein des TND </w:t>
      </w:r>
      <w:r w:rsidRPr="0044125B">
        <w:rPr>
          <w:rFonts w:cstheme="minorHAnsi"/>
          <w:bCs/>
        </w:rPr>
        <w:t>(8,1 M €).</w:t>
      </w:r>
    </w:p>
    <w:sectPr w:rsidR="008F45CD" w:rsidRPr="00691BC0" w:rsidDel="003933C6" w:rsidSect="003C27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0EA8"/>
    <w:multiLevelType w:val="hybridMultilevel"/>
    <w:tmpl w:val="AE22BB90"/>
    <w:lvl w:ilvl="0" w:tplc="88883E4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270060"/>
    <w:multiLevelType w:val="hybridMultilevel"/>
    <w:tmpl w:val="2446D790"/>
    <w:lvl w:ilvl="0" w:tplc="6EC4DF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A7424"/>
    <w:multiLevelType w:val="hybridMultilevel"/>
    <w:tmpl w:val="E9C277DA"/>
    <w:lvl w:ilvl="0" w:tplc="06EE1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35A9A"/>
    <w:multiLevelType w:val="hybridMultilevel"/>
    <w:tmpl w:val="A3E041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D1DEC"/>
    <w:multiLevelType w:val="hybridMultilevel"/>
    <w:tmpl w:val="4A6C702E"/>
    <w:lvl w:ilvl="0" w:tplc="8FCE47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34F4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2653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5875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A20F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706E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EC93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5844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E4FA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E877DF9"/>
    <w:multiLevelType w:val="hybridMultilevel"/>
    <w:tmpl w:val="F8127B6C"/>
    <w:lvl w:ilvl="0" w:tplc="6EC4DF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668D"/>
    <w:multiLevelType w:val="hybridMultilevel"/>
    <w:tmpl w:val="1CF2F4A2"/>
    <w:lvl w:ilvl="0" w:tplc="6EC4DF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3958"/>
    <w:multiLevelType w:val="hybridMultilevel"/>
    <w:tmpl w:val="46466550"/>
    <w:lvl w:ilvl="0" w:tplc="13A87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13"/>
    <w:rsid w:val="000367EF"/>
    <w:rsid w:val="00054EE2"/>
    <w:rsid w:val="00074510"/>
    <w:rsid w:val="000A44F0"/>
    <w:rsid w:val="000C5EE8"/>
    <w:rsid w:val="000D323F"/>
    <w:rsid w:val="0012233B"/>
    <w:rsid w:val="001230FB"/>
    <w:rsid w:val="00130B38"/>
    <w:rsid w:val="00131C31"/>
    <w:rsid w:val="00141149"/>
    <w:rsid w:val="0016597D"/>
    <w:rsid w:val="00183723"/>
    <w:rsid w:val="001C43D4"/>
    <w:rsid w:val="001C50F2"/>
    <w:rsid w:val="002176C0"/>
    <w:rsid w:val="00241726"/>
    <w:rsid w:val="0026708C"/>
    <w:rsid w:val="00296169"/>
    <w:rsid w:val="002A084D"/>
    <w:rsid w:val="002A5E13"/>
    <w:rsid w:val="002A7827"/>
    <w:rsid w:val="002B5E33"/>
    <w:rsid w:val="002D32AF"/>
    <w:rsid w:val="002F6ED8"/>
    <w:rsid w:val="00305CA7"/>
    <w:rsid w:val="003455C7"/>
    <w:rsid w:val="003C2744"/>
    <w:rsid w:val="003E446E"/>
    <w:rsid w:val="0044125B"/>
    <w:rsid w:val="00455461"/>
    <w:rsid w:val="004A5134"/>
    <w:rsid w:val="004B17BF"/>
    <w:rsid w:val="004E22B3"/>
    <w:rsid w:val="005E3847"/>
    <w:rsid w:val="005F7028"/>
    <w:rsid w:val="006706C5"/>
    <w:rsid w:val="00691BC0"/>
    <w:rsid w:val="006C7043"/>
    <w:rsid w:val="0072680C"/>
    <w:rsid w:val="00752F70"/>
    <w:rsid w:val="007C2E5F"/>
    <w:rsid w:val="00863428"/>
    <w:rsid w:val="00882312"/>
    <w:rsid w:val="00891AE4"/>
    <w:rsid w:val="008F45CD"/>
    <w:rsid w:val="008F71BF"/>
    <w:rsid w:val="0092084C"/>
    <w:rsid w:val="00920FAE"/>
    <w:rsid w:val="00931F22"/>
    <w:rsid w:val="00972807"/>
    <w:rsid w:val="009E4EF9"/>
    <w:rsid w:val="00A12A9E"/>
    <w:rsid w:val="00A739E8"/>
    <w:rsid w:val="00B413F7"/>
    <w:rsid w:val="00B44DC9"/>
    <w:rsid w:val="00B46326"/>
    <w:rsid w:val="00B90BCC"/>
    <w:rsid w:val="00B92C0C"/>
    <w:rsid w:val="00BE0E9B"/>
    <w:rsid w:val="00BF6894"/>
    <w:rsid w:val="00C00701"/>
    <w:rsid w:val="00C5260E"/>
    <w:rsid w:val="00CC1FA1"/>
    <w:rsid w:val="00CE1772"/>
    <w:rsid w:val="00CF03BD"/>
    <w:rsid w:val="00D27382"/>
    <w:rsid w:val="00D667B1"/>
    <w:rsid w:val="00E1410F"/>
    <w:rsid w:val="00E44F76"/>
    <w:rsid w:val="00E47500"/>
    <w:rsid w:val="00E63407"/>
    <w:rsid w:val="00E9638A"/>
    <w:rsid w:val="00F1650F"/>
    <w:rsid w:val="00F45072"/>
    <w:rsid w:val="00F56606"/>
    <w:rsid w:val="00F74910"/>
    <w:rsid w:val="00F9641A"/>
    <w:rsid w:val="00FB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12DE7-21FB-4C63-A274-3D268181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E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e à puces orange"/>
    <w:basedOn w:val="Normal"/>
    <w:link w:val="ParagraphedelisteCar"/>
    <w:uiPriority w:val="34"/>
    <w:qFormat/>
    <w:rsid w:val="00305CA7"/>
    <w:pPr>
      <w:ind w:left="720"/>
      <w:contextualSpacing/>
    </w:pPr>
  </w:style>
  <w:style w:type="table" w:styleId="Grilledutableau">
    <w:name w:val="Table Grid"/>
    <w:basedOn w:val="TableauNormal"/>
    <w:uiPriority w:val="59"/>
    <w:rsid w:val="00054EE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667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67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67B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7B1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aliases w:val="Liste à puces orange Car"/>
    <w:link w:val="Paragraphedeliste"/>
    <w:uiPriority w:val="34"/>
    <w:rsid w:val="00FB4D22"/>
  </w:style>
  <w:style w:type="paragraph" w:styleId="Titre">
    <w:name w:val="Title"/>
    <w:basedOn w:val="Normal"/>
    <w:next w:val="Normal"/>
    <w:link w:val="TitreCar"/>
    <w:uiPriority w:val="10"/>
    <w:qFormat/>
    <w:rsid w:val="00FB4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4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E63407"/>
    <w:rPr>
      <w:b/>
      <w:bCs/>
    </w:rPr>
  </w:style>
  <w:style w:type="character" w:customStyle="1" w:styleId="objetdutexte">
    <w:name w:val="objet du texte"/>
    <w:basedOn w:val="Policepardfaut"/>
    <w:rsid w:val="00A739E8"/>
    <w:rPr>
      <w:rFonts w:ascii="Times New Roman" w:hAnsi="Times New Roman"/>
      <w:noProof w:val="0"/>
      <w:sz w:val="24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63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6326"/>
    <w:rPr>
      <w:b/>
      <w:bCs/>
      <w:sz w:val="20"/>
      <w:szCs w:val="20"/>
    </w:rPr>
  </w:style>
  <w:style w:type="paragraph" w:customStyle="1" w:styleId="Cartable">
    <w:name w:val="Cartable"/>
    <w:basedOn w:val="Normal"/>
    <w:qFormat/>
    <w:rsid w:val="00054EE2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054EE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54EE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054EE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CF4D-889D-4D70-8F12-98BE77DE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1123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++++</dc:creator>
  <cp:lastModifiedBy>Doinel</cp:lastModifiedBy>
  <cp:revision>4</cp:revision>
  <cp:lastPrinted>2020-06-11T17:25:00Z</cp:lastPrinted>
  <dcterms:created xsi:type="dcterms:W3CDTF">2020-06-12T08:56:00Z</dcterms:created>
  <dcterms:modified xsi:type="dcterms:W3CDTF">2020-06-22T11:13:00Z</dcterms:modified>
</cp:coreProperties>
</file>